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D3EDF" w14:textId="77777777" w:rsidR="004115F9" w:rsidRDefault="004115F9">
      <w:pPr>
        <w:jc w:val="center"/>
        <w:rPr>
          <w:b/>
        </w:rPr>
      </w:pPr>
    </w:p>
    <w:p w14:paraId="5FD1B798" w14:textId="77777777" w:rsidR="004115F9" w:rsidRDefault="00A67E04">
      <w:pPr>
        <w:jc w:val="center"/>
        <w:rPr>
          <w:b/>
        </w:rPr>
      </w:pPr>
      <w:r>
        <w:rPr>
          <w:b/>
        </w:rPr>
        <w:t>Provincia di Livorno</w:t>
      </w:r>
    </w:p>
    <w:p w14:paraId="0B7D201C" w14:textId="77777777" w:rsidR="004115F9" w:rsidRDefault="00A67E04">
      <w:pPr>
        <w:jc w:val="center"/>
        <w:rPr>
          <w:b/>
        </w:rPr>
      </w:pPr>
      <w:r>
        <w:rPr>
          <w:b/>
        </w:rPr>
        <w:t>Collegio dei Revisori dei Conti</w:t>
      </w:r>
    </w:p>
    <w:p w14:paraId="5A457623" w14:textId="77777777" w:rsidR="004115F9" w:rsidRDefault="004115F9">
      <w:pPr>
        <w:jc w:val="center"/>
        <w:rPr>
          <w:b/>
        </w:rPr>
      </w:pPr>
    </w:p>
    <w:p w14:paraId="35D1FDBF" w14:textId="4AC737D8" w:rsidR="004115F9" w:rsidRDefault="00A67E04">
      <w:pPr>
        <w:jc w:val="center"/>
      </w:pPr>
      <w:r>
        <w:t xml:space="preserve">Verbale </w:t>
      </w:r>
      <w:r w:rsidRPr="00A41926">
        <w:t>n.</w:t>
      </w:r>
      <w:r w:rsidR="00A41926">
        <w:t xml:space="preserve"> </w:t>
      </w:r>
      <w:r w:rsidR="00A41926" w:rsidRPr="00A41926">
        <w:t>94</w:t>
      </w:r>
    </w:p>
    <w:p w14:paraId="54006AD7" w14:textId="77777777" w:rsidR="004115F9" w:rsidRDefault="004115F9">
      <w:pPr>
        <w:jc w:val="both"/>
      </w:pPr>
    </w:p>
    <w:p w14:paraId="2F0FADDF" w14:textId="3A90EB9D" w:rsidR="004115F9" w:rsidRDefault="00A67E04">
      <w:pPr>
        <w:jc w:val="both"/>
      </w:pPr>
      <w:r w:rsidRPr="00A41926">
        <w:t>Oggi</w:t>
      </w:r>
      <w:r w:rsidR="00A41926">
        <w:t xml:space="preserve"> </w:t>
      </w:r>
      <w:r w:rsidR="00A41926" w:rsidRPr="00A41926">
        <w:t xml:space="preserve">26 </w:t>
      </w:r>
      <w:proofErr w:type="gramStart"/>
      <w:r w:rsidR="00A41926" w:rsidRPr="00A41926">
        <w:t>Novembre</w:t>
      </w:r>
      <w:proofErr w:type="gramEnd"/>
      <w:r w:rsidR="0052265F">
        <w:t xml:space="preserve"> </w:t>
      </w:r>
      <w:r w:rsidRPr="00A41926">
        <w:t>2024</w:t>
      </w:r>
      <w:r>
        <w:t xml:space="preserve"> alle ore </w:t>
      </w:r>
      <w:r w:rsidR="00A41926">
        <w:t>14,30</w:t>
      </w:r>
      <w:r>
        <w:t xml:space="preserve"> si è riunito in seduto audio conferenza il Collegio dei Revisori dei Conti nominato con Delibera del 31/01/2022 n. 7 nei suoi componenti Dott. Stefano Del Vecchio e Dott. Claudio Pucci quali Componenti e Dott. Lauro Alessandri quale Presidente</w:t>
      </w:r>
    </w:p>
    <w:p w14:paraId="078E0FD8" w14:textId="77777777" w:rsidR="004115F9" w:rsidRDefault="004115F9">
      <w:pPr>
        <w:jc w:val="both"/>
      </w:pPr>
    </w:p>
    <w:p w14:paraId="70027E0C" w14:textId="77777777" w:rsidR="004115F9" w:rsidRDefault="00A67E04">
      <w:pPr>
        <w:jc w:val="center"/>
        <w:rPr>
          <w:b/>
          <w:bCs/>
        </w:rPr>
      </w:pPr>
      <w:r>
        <w:rPr>
          <w:b/>
          <w:bCs/>
        </w:rPr>
        <w:t>Premesso</w:t>
      </w:r>
    </w:p>
    <w:p w14:paraId="2AAA957C" w14:textId="77777777" w:rsidR="004115F9" w:rsidRDefault="004115F9">
      <w:pPr>
        <w:jc w:val="center"/>
        <w:rPr>
          <w:b/>
          <w:bCs/>
        </w:rPr>
      </w:pPr>
    </w:p>
    <w:p w14:paraId="6D358B17" w14:textId="77777777" w:rsidR="004115F9" w:rsidRDefault="00A67E04">
      <w:pPr>
        <w:jc w:val="both"/>
      </w:pPr>
      <w:r>
        <w:t xml:space="preserve">che in data </w:t>
      </w:r>
      <w:r>
        <w:rPr>
          <w:rFonts w:eastAsia="Times New Roman" w:cs="Times New Roman"/>
          <w:lang w:bidi="ar-SA"/>
        </w:rPr>
        <w:t>15 novembre</w:t>
      </w:r>
      <w:r>
        <w:t xml:space="preserve"> 2024 il Collegio ha ricevuto la bozza della Delibera di Consiglio  della Provincia di Livorno   Variazione al Bilancio di previsione 2024 – 2026 corredato dagli allegati</w:t>
      </w:r>
      <w:r>
        <w:rPr>
          <w:rFonts w:eastAsia="Arial"/>
        </w:rPr>
        <w:t>, parte integrante e sostanziale del  provvedimento, nei quali sono evidenziate le variazioni</w:t>
      </w:r>
      <w:r>
        <w:t xml:space="preserve"> : </w:t>
      </w:r>
    </w:p>
    <w:p w14:paraId="3A25D16A" w14:textId="77777777" w:rsidR="004115F9" w:rsidRDefault="004115F9">
      <w:pPr>
        <w:jc w:val="both"/>
      </w:pPr>
    </w:p>
    <w:p w14:paraId="57DFA440" w14:textId="77777777" w:rsidR="004115F9" w:rsidRDefault="00A67E04">
      <w:pPr>
        <w:jc w:val="both"/>
      </w:pPr>
      <w:r>
        <w:t>All.1 Variazioni per codici di bilancio competenza e cassa</w:t>
      </w:r>
    </w:p>
    <w:p w14:paraId="39AD15CC" w14:textId="77777777" w:rsidR="004115F9" w:rsidRDefault="00A67E04">
      <w:pPr>
        <w:jc w:val="both"/>
      </w:pPr>
      <w:r>
        <w:t>All.2 Variazioni per U.O. competenza e cassa</w:t>
      </w:r>
    </w:p>
    <w:p w14:paraId="402A1830" w14:textId="77777777" w:rsidR="004115F9" w:rsidRDefault="00A67E04">
      <w:pPr>
        <w:jc w:val="both"/>
      </w:pPr>
      <w:r>
        <w:t>All. 3 Variazioni con descrizione</w:t>
      </w:r>
    </w:p>
    <w:p w14:paraId="29EEC48D" w14:textId="77777777" w:rsidR="004115F9" w:rsidRDefault="004115F9">
      <w:pPr>
        <w:jc w:val="both"/>
      </w:pPr>
    </w:p>
    <w:p w14:paraId="47F72A44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</w:rPr>
        <w:t>che la variazione si rende necessaria per le motivazioni riassunte nella bozza di Delibera  trasmessa;</w:t>
      </w:r>
    </w:p>
    <w:p w14:paraId="701D52C2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2FFCD76F" w14:textId="77777777" w:rsidR="004115F9" w:rsidRDefault="00A67E04">
      <w:pPr>
        <w:suppressAutoHyphens w:val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preso atto</w:t>
      </w:r>
    </w:p>
    <w:p w14:paraId="11E19A03" w14:textId="77777777" w:rsidR="004115F9" w:rsidRDefault="004115F9">
      <w:pPr>
        <w:suppressAutoHyphens w:val="0"/>
        <w:jc w:val="center"/>
        <w:rPr>
          <w:rFonts w:ascii="Times New Roman" w:eastAsia="Times New Roman" w:hAnsi="Times New Roman" w:cs="Times New Roman"/>
        </w:rPr>
      </w:pPr>
    </w:p>
    <w:p w14:paraId="16DE3305" w14:textId="77777777" w:rsidR="004115F9" w:rsidRDefault="00A67E04" w:rsidP="00A41926">
      <w:pPr>
        <w:suppressAutoHyphens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dell’ulteriore informativa fornita dalla Responsabile Unità di Servizio Risorse Finanziarie Dott.ssa Cristina Borrini che sinteticamente ripercorre le motivazioni della delibera di variazione facendo notare che nella stessa:</w:t>
      </w:r>
    </w:p>
    <w:p w14:paraId="6557F6B2" w14:textId="77777777" w:rsidR="004115F9" w:rsidRDefault="004115F9">
      <w:pPr>
        <w:suppressAutoHyphens w:val="0"/>
        <w:rPr>
          <w:rFonts w:ascii="Times New Roman" w:eastAsia="Times New Roman" w:hAnsi="Times New Roman" w:cs="Times New Roman"/>
        </w:rPr>
      </w:pPr>
    </w:p>
    <w:p w14:paraId="7A9FE71F" w14:textId="77777777" w:rsidR="004115F9" w:rsidRPr="00F60E24" w:rsidRDefault="00A67E04" w:rsidP="00F60E24">
      <w:pPr>
        <w:pStyle w:val="Paragrafoelenco"/>
        <w:numPr>
          <w:ilvl w:val="0"/>
          <w:numId w:val="7"/>
        </w:numPr>
        <w:jc w:val="both"/>
        <w:rPr>
          <w:rFonts w:ascii="Calibri" w:eastAsia="Times New Roman" w:hAnsi="Calibri" w:cs="Calibri"/>
          <w:i/>
          <w:iCs/>
          <w:kern w:val="0"/>
          <w:sz w:val="22"/>
          <w:szCs w:val="22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è stato appli</w:t>
      </w:r>
      <w:r w:rsidR="00BF13CC"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cato l'avanzo vincolato per € </w:t>
      </w: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 </w:t>
      </w:r>
      <w:r w:rsidR="000A21D7" w:rsidRPr="00F60E24">
        <w:rPr>
          <w:rFonts w:ascii="Times New Roman" w:eastAsia="Times New Roman" w:hAnsi="Times New Roman" w:cs="Times New Roman"/>
          <w:kern w:val="0"/>
          <w:szCs w:val="24"/>
          <w:lang w:eastAsia="it-IT" w:bidi="ar-SA"/>
        </w:rPr>
        <w:t>949.550,32</w:t>
      </w:r>
      <w:r w:rsidR="000A21D7" w:rsidRPr="00F60E24">
        <w:rPr>
          <w:rFonts w:ascii="Calibri" w:eastAsia="Times New Roman" w:hAnsi="Calibri" w:cs="Calibri"/>
          <w:i/>
          <w:iCs/>
          <w:kern w:val="0"/>
          <w:sz w:val="22"/>
          <w:szCs w:val="22"/>
          <w:lang w:eastAsia="it-IT" w:bidi="ar-SA"/>
        </w:rPr>
        <w:t xml:space="preserve">  </w:t>
      </w: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per 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pro</w:t>
      </w:r>
      <w:r w:rsidR="000A21D7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cedere alla manutenzione straordinaria della sala della Protezione civile provinciale e per corrispondere a Regione Toscana la quota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  commisurata agli incassi 2023,</w:t>
      </w:r>
      <w:r w:rsidR="000A21D7"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 dovuta per la manutenzione della S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.</w:t>
      </w:r>
      <w:r w:rsidR="000A21D7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G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.</w:t>
      </w:r>
      <w:r w:rsidR="000A21D7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C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.  Fi. PI. LI. come da convenzione vigente</w:t>
      </w: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; </w:t>
      </w:r>
    </w:p>
    <w:p w14:paraId="63729602" w14:textId="77777777" w:rsidR="004115F9" w:rsidRDefault="004115F9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C9211E"/>
          <w:kern w:val="0"/>
          <w:lang w:eastAsia="it-IT" w:bidi="ar-SA"/>
        </w:rPr>
      </w:pPr>
    </w:p>
    <w:p w14:paraId="3DF1AD68" w14:textId="77777777" w:rsidR="004115F9" w:rsidRPr="00F60E24" w:rsidRDefault="00A67E04" w:rsidP="00F60E24">
      <w:pPr>
        <w:pStyle w:val="Paragrafoelenco"/>
        <w:widowControl/>
        <w:numPr>
          <w:ilvl w:val="0"/>
          <w:numId w:val="7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è stato </w:t>
      </w:r>
      <w:r w:rsidR="00D652A2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applicato avanzo disponibile per € 241.809,4 per coprire parte delle spese di somma urgenza per il ripristino della sicurezza sulla S.P. 39 a seguito degli eventi meteorologici eccezionali del 17 e 25/10 scorsi;</w:t>
      </w:r>
    </w:p>
    <w:p w14:paraId="7B965115" w14:textId="77777777" w:rsidR="00BF13CC" w:rsidRDefault="00BF13CC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</w:p>
    <w:p w14:paraId="50B19ED2" w14:textId="77777777" w:rsidR="00BF13CC" w:rsidRPr="00F60E24" w:rsidRDefault="00BF13CC" w:rsidP="00F60E24">
      <w:pPr>
        <w:pStyle w:val="Paragrafoelenco"/>
        <w:widowControl/>
        <w:numPr>
          <w:ilvl w:val="0"/>
          <w:numId w:val="7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è stato adeguato lo stanziamento di entrata delle risorse regionali destinate alla manutenzione delle strade regionali prevedendo un investimento  nell’acquisto di un mezzo operativo per € 46.331,45;</w:t>
      </w:r>
    </w:p>
    <w:p w14:paraId="4926B26F" w14:textId="77777777" w:rsidR="00BF13CC" w:rsidRDefault="00BF13CC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</w:p>
    <w:p w14:paraId="6C98257D" w14:textId="77777777" w:rsidR="00BF13CC" w:rsidRPr="00F60E24" w:rsidRDefault="00BF13CC" w:rsidP="00F60E24">
      <w:pPr>
        <w:pStyle w:val="Paragrafoelenco"/>
        <w:widowControl/>
        <w:numPr>
          <w:ilvl w:val="0"/>
          <w:numId w:val="7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è stato inserito lo stanziamento in entrata e  uscita per adeguare le risorse per la manutenzione dei ponti in estensione al D.L. n. 104/20 per € 692.222,77;</w:t>
      </w:r>
    </w:p>
    <w:p w14:paraId="23E30C18" w14:textId="77777777" w:rsidR="00F60E24" w:rsidRDefault="00F60E24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</w:p>
    <w:p w14:paraId="5853CCE8" w14:textId="77777777" w:rsidR="00F60E24" w:rsidRPr="00F60E24" w:rsidRDefault="00F60E24" w:rsidP="00F60E24">
      <w:pPr>
        <w:pStyle w:val="Paragrafoelenco"/>
        <w:widowControl/>
        <w:numPr>
          <w:ilvl w:val="0"/>
          <w:numId w:val="7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sono stati effettuati storni tra capitoli di spesa per effettuare maggiori spese di manutenzione di edifici provinciali  per € 80.000,00 e per il museo per € 70.000,00 oltre che per l’acquisto di macchinette per le rilevazioni del traffico per € 10.000,00.</w:t>
      </w:r>
    </w:p>
    <w:p w14:paraId="21E8D878" w14:textId="77777777" w:rsidR="004115F9" w:rsidRDefault="004115F9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C9211E"/>
          <w:kern w:val="0"/>
          <w:lang w:eastAsia="it-IT" w:bidi="ar-SA"/>
        </w:rPr>
      </w:pPr>
    </w:p>
    <w:p w14:paraId="7CC5348E" w14:textId="77777777" w:rsidR="004115F9" w:rsidRPr="00F60E24" w:rsidRDefault="00A67E04" w:rsidP="00F60E24">
      <w:pPr>
        <w:pStyle w:val="Paragrafoelenco"/>
        <w:widowControl/>
        <w:numPr>
          <w:ilvl w:val="0"/>
          <w:numId w:val="7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lang w:eastAsia="it-IT" w:bidi="ar-SA"/>
        </w:rPr>
      </w:pP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le restanti variazioni riguardano l'inserimento di </w:t>
      </w:r>
      <w:r w:rsidR="005821CC"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maggiori entrate che sono state accertate generando uno “sforamento” degli stanziamenti previsti in bilancio e che hanno in parte coperto le spese di somma urgenza di cui sopra e in parte altre spese di modesta entità come </w:t>
      </w:r>
      <w:r w:rsidR="00576BD1" w:rsidRPr="00F60E24">
        <w:rPr>
          <w:rFonts w:ascii="Times New Roman" w:eastAsia="Times New Roman" w:hAnsi="Times New Roman" w:cs="Times New Roman"/>
          <w:kern w:val="0"/>
          <w:lang w:eastAsia="it-IT" w:bidi="ar-SA"/>
        </w:rPr>
        <w:t xml:space="preserve">le </w:t>
      </w:r>
      <w:r w:rsidR="005821CC" w:rsidRPr="00F60E24">
        <w:rPr>
          <w:rFonts w:ascii="Times New Roman" w:eastAsia="Times New Roman" w:hAnsi="Times New Roman" w:cs="Times New Roman"/>
          <w:kern w:val="0"/>
          <w:lang w:eastAsia="it-IT" w:bidi="ar-SA"/>
        </w:rPr>
        <w:t>spese per la formazione di personale</w:t>
      </w:r>
      <w:r w:rsidRPr="00F60E24">
        <w:rPr>
          <w:rFonts w:ascii="Times New Roman" w:eastAsia="Times New Roman" w:hAnsi="Times New Roman" w:cs="Times New Roman"/>
          <w:kern w:val="0"/>
          <w:lang w:eastAsia="it-IT" w:bidi="ar-SA"/>
        </w:rPr>
        <w:t>.</w:t>
      </w:r>
    </w:p>
    <w:p w14:paraId="347E17EF" w14:textId="77777777" w:rsidR="004115F9" w:rsidRDefault="004115F9">
      <w:pPr>
        <w:widowControl/>
        <w:suppressAutoHyphens w:val="0"/>
        <w:spacing w:line="276" w:lineRule="auto"/>
        <w:rPr>
          <w:rFonts w:ascii="Times New Roman" w:eastAsia="Times New Roman" w:hAnsi="Times New Roman" w:cs="Times New Roman"/>
          <w:kern w:val="0"/>
          <w:lang w:eastAsia="it-IT" w:bidi="ar-SA"/>
        </w:rPr>
      </w:pPr>
    </w:p>
    <w:p w14:paraId="6468F879" w14:textId="77777777" w:rsidR="004115F9" w:rsidRDefault="004115F9">
      <w:pPr>
        <w:jc w:val="both"/>
        <w:rPr>
          <w:rFonts w:ascii="Calibri" w:eastAsia="Times New Roman" w:hAnsi="Calibri" w:cs="Calibri"/>
        </w:rPr>
      </w:pPr>
    </w:p>
    <w:p w14:paraId="2A113331" w14:textId="77777777" w:rsidR="004115F9" w:rsidRPr="009C710D" w:rsidRDefault="00A67E04">
      <w:pPr>
        <w:jc w:val="both"/>
        <w:rPr>
          <w:rFonts w:ascii="Times New Roman" w:hAnsi="Times New Roman" w:cs="Times New Roman"/>
        </w:rPr>
      </w:pPr>
      <w:r w:rsidRPr="009C710D">
        <w:rPr>
          <w:rFonts w:ascii="Times New Roman" w:eastAsia="Times New Roman" w:hAnsi="Times New Roman" w:cs="Times New Roman"/>
        </w:rPr>
        <w:t>che l’art. 42 del D.Lgs. n. 267/2000, al comma 2 lettera b) attribuisce alla competenza del Consiglio Provinciale le deliberazioni in materia di variazioni di bilancio;</w:t>
      </w:r>
    </w:p>
    <w:p w14:paraId="70E5B497" w14:textId="77777777" w:rsidR="004115F9" w:rsidRPr="009C710D" w:rsidRDefault="004115F9">
      <w:pPr>
        <w:jc w:val="both"/>
        <w:rPr>
          <w:rFonts w:ascii="Times New Roman" w:eastAsia="Calibri" w:hAnsi="Times New Roman" w:cs="Times New Roman"/>
        </w:rPr>
      </w:pPr>
    </w:p>
    <w:p w14:paraId="374E043C" w14:textId="77777777" w:rsidR="004115F9" w:rsidRPr="009C710D" w:rsidRDefault="00A67E04">
      <w:pPr>
        <w:jc w:val="both"/>
        <w:rPr>
          <w:rFonts w:ascii="Times New Roman" w:eastAsia="Times New Roman" w:hAnsi="Times New Roman" w:cs="Times New Roman"/>
        </w:rPr>
      </w:pPr>
      <w:r w:rsidRPr="009C710D">
        <w:rPr>
          <w:rFonts w:ascii="Times New Roman" w:eastAsia="Times New Roman" w:hAnsi="Times New Roman" w:cs="Times New Roman"/>
        </w:rPr>
        <w:t>che tali variazioni rientrano tra quelle previste dall’art.175 comma 2   TUEL e sono pertanto di competenza del Consiglio Provinciale;</w:t>
      </w:r>
    </w:p>
    <w:p w14:paraId="4705438B" w14:textId="77777777" w:rsidR="004115F9" w:rsidRDefault="004115F9">
      <w:pPr>
        <w:jc w:val="both"/>
        <w:rPr>
          <w:rFonts w:ascii="Calibri" w:eastAsia="Times New Roman" w:hAnsi="Calibri" w:cs="Calibri"/>
        </w:rPr>
      </w:pPr>
    </w:p>
    <w:p w14:paraId="2FFD0BDB" w14:textId="77777777" w:rsidR="004115F9" w:rsidRDefault="00A67E04">
      <w:pPr>
        <w:jc w:val="center"/>
      </w:pPr>
      <w:r>
        <w:t>PRESO ATTO</w:t>
      </w:r>
    </w:p>
    <w:p w14:paraId="19BC9AAA" w14:textId="77777777" w:rsidR="004115F9" w:rsidRDefault="004115F9">
      <w:pPr>
        <w:jc w:val="center"/>
      </w:pPr>
    </w:p>
    <w:p w14:paraId="738637E2" w14:textId="77777777" w:rsidR="004115F9" w:rsidRDefault="00A67E04">
      <w:pPr>
        <w:jc w:val="both"/>
      </w:pPr>
      <w:r>
        <w:t>della</w:t>
      </w:r>
      <w:r>
        <w:rPr>
          <w:lang w:eastAsia="it-IT"/>
        </w:rPr>
        <w:t xml:space="preserve"> deliberazione del Consiglio provinciale n. 59 del 29/12/2023 con la quale è stato approvato il Bilancio di previsione 2024-26 e i successivi atti di variazione del medesimo</w:t>
      </w:r>
      <w:r>
        <w:t>.</w:t>
      </w:r>
    </w:p>
    <w:p w14:paraId="7F1AC7EB" w14:textId="77777777" w:rsidR="004115F9" w:rsidRDefault="004115F9">
      <w:pPr>
        <w:jc w:val="both"/>
      </w:pPr>
    </w:p>
    <w:p w14:paraId="41747516" w14:textId="77777777" w:rsidR="004115F9" w:rsidRDefault="00A67E04">
      <w:pPr>
        <w:jc w:val="both"/>
      </w:pPr>
      <w:r>
        <w:t>del Decreto della Presidente n. 7 del 10/01/2024 con il quale è stato approvato il PEG 2024 e il Manuale Operativo di Gestione 2024.</w:t>
      </w:r>
    </w:p>
    <w:p w14:paraId="2BBCAA6E" w14:textId="77777777" w:rsidR="004115F9" w:rsidRDefault="004115F9">
      <w:pPr>
        <w:jc w:val="both"/>
      </w:pPr>
    </w:p>
    <w:p w14:paraId="7FE304D7" w14:textId="77777777" w:rsidR="004115F9" w:rsidRDefault="00A67E04">
      <w:pPr>
        <w:pStyle w:val="NormaleWeb"/>
        <w:jc w:val="both"/>
      </w:pPr>
      <w:r>
        <w:rPr>
          <w:rFonts w:eastAsia="Arial"/>
        </w:rPr>
        <w:t>che sono pervenute da parte dei Responsabili dei Servizi richieste di variazione</w:t>
      </w:r>
      <w:r>
        <w:rPr>
          <w:rFonts w:eastAsia="Arial"/>
          <w:highlight w:val="white"/>
        </w:rPr>
        <w:t xml:space="preserve"> al fine di integrare o modificare gli stanziamenti del  Bilancio 2024 – 2026 e che queste richieste, conservate agli atti dal Servizio Risorse Finanziarie, sono sintetizzate nell’allegato n.3 “Variazione con descrizione”, parte integrante della presente deliberazione;</w:t>
      </w:r>
    </w:p>
    <w:p w14:paraId="433DA5DD" w14:textId="77777777" w:rsidR="004115F9" w:rsidRDefault="00A67E04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Tanto premesso</w:t>
      </w:r>
    </w:p>
    <w:p w14:paraId="2F10EF92" w14:textId="77777777" w:rsidR="004115F9" w:rsidRDefault="004115F9">
      <w:pPr>
        <w:jc w:val="center"/>
        <w:rPr>
          <w:rFonts w:ascii="Times New Roman" w:eastAsia="Times New Roman" w:hAnsi="Times New Roman" w:cs="Times New Roman"/>
        </w:rPr>
      </w:pPr>
    </w:p>
    <w:p w14:paraId="37C3772D" w14:textId="77777777" w:rsidR="004115F9" w:rsidRDefault="00A67E0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Collegio dei Revisori prende in esame  la   proposta di variazione  di bilancio,  sulla quale deve essere acquisito il parere preventivo dell’Organo di Revisione di cui all’art. 239 del TUEL e del vigente regolamento di contabilità.</w:t>
      </w:r>
    </w:p>
    <w:p w14:paraId="60BFC998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38A5BAAA" w14:textId="77777777" w:rsidR="004115F9" w:rsidRDefault="00A67E04">
      <w:pPr>
        <w:shd w:val="clear" w:color="auto" w:fill="FFFFFF"/>
        <w:jc w:val="both"/>
      </w:pPr>
      <w:r>
        <w:rPr>
          <w:rFonts w:ascii="Times New Roman" w:eastAsia="Times New Roman" w:hAnsi="Times New Roman" w:cs="Times New Roman"/>
          <w:b/>
        </w:rPr>
        <w:t>Considerato</w:t>
      </w:r>
      <w:r>
        <w:rPr>
          <w:rFonts w:ascii="Times New Roman" w:eastAsia="Times New Roman" w:hAnsi="Times New Roman" w:cs="Times New Roman"/>
        </w:rPr>
        <w:t xml:space="preserve"> che la variazione proposta al bilancio di previsione finanziario 2024 – 2026, </w:t>
      </w:r>
      <w:r>
        <w:rPr>
          <w:rFonts w:ascii="Times New Roman" w:eastAsia="Times New Roman" w:hAnsi="Times New Roman" w:cs="Times New Roman"/>
          <w:b/>
          <w:bCs/>
        </w:rPr>
        <w:t>di competenza  e cassa</w:t>
      </w:r>
      <w:r>
        <w:rPr>
          <w:rFonts w:ascii="Times New Roman" w:eastAsia="Times New Roman" w:hAnsi="Times New Roman" w:cs="Times New Roman"/>
        </w:rPr>
        <w:t xml:space="preserve">   come da prospetto </w:t>
      </w:r>
      <w:r>
        <w:rPr>
          <w:rFonts w:ascii="Times New Roman" w:eastAsia="Times New Roman" w:hAnsi="Times New Roman" w:cs="Times New Roman"/>
          <w:b/>
        </w:rPr>
        <w:t>Allegato n.1</w:t>
      </w:r>
      <w:r>
        <w:rPr>
          <w:rFonts w:ascii="Times New Roman" w:eastAsia="Times New Roman" w:hAnsi="Times New Roman" w:cs="Times New Roman"/>
          <w:b/>
          <w:color w:val="00000A"/>
        </w:rPr>
        <w:t xml:space="preserve"> per codici di bilancio , </w:t>
      </w:r>
      <w:r>
        <w:rPr>
          <w:rFonts w:ascii="Times New Roman" w:eastAsia="Times New Roman" w:hAnsi="Times New Roman" w:cs="Times New Roman"/>
          <w:b/>
        </w:rPr>
        <w:t>Allegato n. 2 Variazione per unità Organizzative di competenza e cassa e Allegato n.3</w:t>
      </w:r>
      <w:r>
        <w:rPr>
          <w:rFonts w:ascii="Times New Roman" w:eastAsia="Times New Roman" w:hAnsi="Times New Roman" w:cs="Times New Roman"/>
          <w:b/>
          <w:color w:val="00000A"/>
        </w:rPr>
        <w:t xml:space="preserve"> Variazione con descrizione dei capitoli , tutti allegati alla proposta di delibera  cui si rimanda per opportuna informazione , </w:t>
      </w:r>
      <w:r>
        <w:rPr>
          <w:rFonts w:ascii="Times New Roman" w:eastAsia="Times New Roman" w:hAnsi="Times New Roman" w:cs="Times New Roman"/>
          <w:b/>
          <w:bCs/>
        </w:rPr>
        <w:t xml:space="preserve">consiste </w:t>
      </w:r>
      <w:r>
        <w:rPr>
          <w:rFonts w:ascii="Times New Roman" w:eastAsia="Times New Roman" w:hAnsi="Times New Roman" w:cs="Times New Roman"/>
        </w:rPr>
        <w:t>:</w:t>
      </w:r>
    </w:p>
    <w:p w14:paraId="48F6DB8E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4151C195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0" w:name="_Hlk87369300"/>
      <w:r>
        <w:rPr>
          <w:rFonts w:ascii="Times New Roman" w:eastAsia="Times New Roman" w:hAnsi="Times New Roman" w:cs="Times New Roman"/>
          <w:b/>
          <w:bCs/>
        </w:rPr>
        <w:t>per l’anno 2024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competenza</w:t>
      </w:r>
      <w:r>
        <w:rPr>
          <w:rFonts w:ascii="Times New Roman" w:eastAsia="Times New Roman" w:hAnsi="Times New Roman" w:cs="Times New Roman"/>
        </w:rPr>
        <w:t xml:space="preserve"> Parte I Entrata ,  </w:t>
      </w:r>
      <w:r>
        <w:rPr>
          <w:rFonts w:ascii="Times New Roman" w:eastAsia="Times New Roman" w:hAnsi="Times New Roman" w:cs="Times New Roman"/>
          <w:b/>
        </w:rPr>
        <w:t xml:space="preserve"> in maggiori entrate </w:t>
      </w:r>
      <w:r w:rsidR="002C4B5C" w:rsidRPr="00764F13">
        <w:rPr>
          <w:rFonts w:ascii="Times New Roman" w:eastAsia="Times New Roman" w:hAnsi="Times New Roman" w:cs="Times New Roman"/>
        </w:rPr>
        <w:t>1.790.241,16</w:t>
      </w:r>
      <w:r>
        <w:rPr>
          <w:rFonts w:ascii="Times New Roman" w:eastAsia="Times New Roman" w:hAnsi="Times New Roman" w:cs="Times New Roman"/>
          <w:b/>
        </w:rPr>
        <w:t xml:space="preserve">€, e utilizzo avanzo di amministrazione di </w:t>
      </w:r>
      <w:r w:rsidR="00973BF6" w:rsidRPr="00764F13">
        <w:rPr>
          <w:rFonts w:ascii="Times New Roman" w:eastAsia="Times New Roman" w:hAnsi="Times New Roman" w:cs="Times New Roman"/>
        </w:rPr>
        <w:t>1.191.359,72</w:t>
      </w:r>
      <w:r w:rsidR="00973BF6">
        <w:rPr>
          <w:rFonts w:ascii="ArialMT" w:hAnsi="ArialMT" w:cs="ArialMT"/>
          <w:kern w:val="0"/>
          <w:sz w:val="16"/>
          <w:szCs w:val="16"/>
          <w:lang w:bidi="ar-SA"/>
        </w:rPr>
        <w:t xml:space="preserve">  </w:t>
      </w:r>
      <w:r>
        <w:rPr>
          <w:rFonts w:ascii="Times New Roman" w:eastAsia="Times New Roman" w:hAnsi="Times New Roman" w:cs="Times New Roman"/>
          <w:b/>
        </w:rPr>
        <w:t xml:space="preserve">€, saldo totale </w:t>
      </w:r>
      <w:r w:rsidR="002C4B5C" w:rsidRPr="00764F13">
        <w:rPr>
          <w:rFonts w:ascii="Times New Roman" w:eastAsia="Times New Roman" w:hAnsi="Times New Roman" w:cs="Times New Roman"/>
        </w:rPr>
        <w:t>2.981.600,88</w:t>
      </w:r>
      <w:r>
        <w:rPr>
          <w:rFonts w:ascii="Times New Roman" w:eastAsia="Times New Roman" w:hAnsi="Times New Roman" w:cs="Times New Roman"/>
          <w:b/>
        </w:rPr>
        <w:t xml:space="preserve"> € con conseguente stanziamento definitivo di </w:t>
      </w:r>
      <w:r w:rsidR="001D4207" w:rsidRPr="00764F13">
        <w:rPr>
          <w:rFonts w:ascii="Times New Roman" w:eastAsia="Times New Roman" w:hAnsi="Times New Roman" w:cs="Times New Roman"/>
        </w:rPr>
        <w:t>1</w:t>
      </w:r>
      <w:r w:rsidR="002C4B5C" w:rsidRPr="00764F13">
        <w:rPr>
          <w:rFonts w:ascii="Times New Roman" w:eastAsia="Times New Roman" w:hAnsi="Times New Roman" w:cs="Times New Roman"/>
        </w:rPr>
        <w:t>23.513.449,92</w:t>
      </w:r>
      <w:r>
        <w:rPr>
          <w:rFonts w:ascii="Times New Roman" w:eastAsia="Times New Roman" w:hAnsi="Times New Roman" w:cs="Times New Roman"/>
          <w:b/>
        </w:rPr>
        <w:t>€ come da prospetto Variazioni allegato;</w:t>
      </w:r>
    </w:p>
    <w:bookmarkEnd w:id="0"/>
    <w:p w14:paraId="787C59A7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5588446B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  <w:bCs/>
        </w:rPr>
        <w:t>per l’anno 2024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competenza</w:t>
      </w:r>
      <w:r>
        <w:rPr>
          <w:rFonts w:ascii="Times New Roman" w:eastAsia="Times New Roman" w:hAnsi="Times New Roman" w:cs="Times New Roman"/>
        </w:rPr>
        <w:t xml:space="preserve">  Parte II Spesa ,  </w:t>
      </w:r>
      <w:r>
        <w:rPr>
          <w:rFonts w:ascii="Times New Roman" w:eastAsia="Times New Roman" w:hAnsi="Times New Roman" w:cs="Times New Roman"/>
          <w:b/>
        </w:rPr>
        <w:t xml:space="preserve">per maggiori spese  per </w:t>
      </w:r>
      <w:r w:rsidR="001D4207" w:rsidRPr="00764F13">
        <w:rPr>
          <w:rFonts w:ascii="Times New Roman" w:eastAsia="Times New Roman" w:hAnsi="Times New Roman" w:cs="Times New Roman"/>
        </w:rPr>
        <w:t>3.364.335,54</w:t>
      </w:r>
      <w:r>
        <w:rPr>
          <w:rFonts w:ascii="Times New Roman" w:eastAsia="Times New Roman" w:hAnsi="Times New Roman" w:cs="Times New Roman"/>
          <w:b/>
        </w:rPr>
        <w:t>€</w:t>
      </w:r>
      <w:r>
        <w:rPr>
          <w:rFonts w:ascii="Times New Roman" w:eastAsia="Times New Roman" w:hAnsi="Times New Roman" w:cs="Times New Roman"/>
        </w:rPr>
        <w:t xml:space="preserve">  e </w:t>
      </w:r>
      <w:r>
        <w:rPr>
          <w:rFonts w:ascii="Times New Roman" w:eastAsia="Times New Roman" w:hAnsi="Times New Roman" w:cs="Times New Roman"/>
          <w:b/>
        </w:rPr>
        <w:t xml:space="preserve">minori spese per </w:t>
      </w:r>
      <w:r w:rsidR="001D4207" w:rsidRPr="00764F13">
        <w:rPr>
          <w:rFonts w:ascii="Times New Roman" w:eastAsia="Times New Roman" w:hAnsi="Times New Roman" w:cs="Times New Roman"/>
        </w:rPr>
        <w:t>382.734,66</w:t>
      </w:r>
      <w:r>
        <w:rPr>
          <w:rFonts w:ascii="Times New Roman" w:eastAsia="Times New Roman" w:hAnsi="Times New Roman" w:cs="Times New Roman"/>
          <w:b/>
        </w:rPr>
        <w:t xml:space="preserve">€,  Variazione positiva per </w:t>
      </w:r>
      <w:r w:rsidR="001D4207" w:rsidRPr="002C4B5C">
        <w:rPr>
          <w:rFonts w:ascii="ArialMT" w:hAnsi="ArialMT" w:cs="ArialMT"/>
          <w:kern w:val="0"/>
          <w:sz w:val="16"/>
          <w:szCs w:val="16"/>
          <w:lang w:bidi="ar-SA"/>
        </w:rPr>
        <w:t>2.981.600,88</w:t>
      </w:r>
      <w:r w:rsidR="001D4207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€ con conseguente stanziamento  definitivo di </w:t>
      </w:r>
      <w:r w:rsidR="001D4207" w:rsidRPr="00764F13">
        <w:rPr>
          <w:rFonts w:ascii="Times New Roman" w:eastAsia="Times New Roman" w:hAnsi="Times New Roman" w:cs="Times New Roman"/>
        </w:rPr>
        <w:t>123.513.449,92</w:t>
      </w:r>
      <w:r w:rsidR="001D4207">
        <w:rPr>
          <w:rFonts w:ascii="ArialMT" w:hAnsi="ArialMT" w:cs="ArialMT"/>
          <w:kern w:val="0"/>
          <w:sz w:val="16"/>
          <w:szCs w:val="16"/>
          <w:lang w:bidi="ar-SA"/>
        </w:rPr>
        <w:t xml:space="preserve"> </w:t>
      </w:r>
      <w:r>
        <w:rPr>
          <w:rFonts w:ascii="Times New Roman" w:eastAsia="Times New Roman" w:hAnsi="Times New Roman" w:cs="Times New Roman"/>
          <w:b/>
        </w:rPr>
        <w:t>€ , come da prospetto Variazioni allegato;</w:t>
      </w:r>
    </w:p>
    <w:p w14:paraId="67B5944F" w14:textId="77777777" w:rsidR="004115F9" w:rsidRDefault="004115F9">
      <w:pPr>
        <w:jc w:val="both"/>
        <w:rPr>
          <w:rFonts w:ascii="Times New Roman" w:eastAsia="Times New Roman" w:hAnsi="Times New Roman" w:cs="Times New Roman"/>
          <w:b/>
        </w:rPr>
      </w:pPr>
    </w:p>
    <w:p w14:paraId="3C0799EE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  <w:bCs/>
        </w:rPr>
        <w:t>per l’anno 2024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cassa</w:t>
      </w:r>
      <w:r>
        <w:rPr>
          <w:rFonts w:ascii="Times New Roman" w:eastAsia="Times New Roman" w:hAnsi="Times New Roman" w:cs="Times New Roman"/>
        </w:rPr>
        <w:t xml:space="preserve"> Parte I Entrata , </w:t>
      </w:r>
      <w:r>
        <w:rPr>
          <w:rFonts w:ascii="Times New Roman" w:eastAsia="Times New Roman" w:hAnsi="Times New Roman" w:cs="Times New Roman"/>
          <w:b/>
        </w:rPr>
        <w:t xml:space="preserve">in maggiori entrate per </w:t>
      </w:r>
      <w:r w:rsidR="007551E9" w:rsidRPr="00764F13">
        <w:rPr>
          <w:rFonts w:ascii="Times New Roman" w:eastAsia="Times New Roman" w:hAnsi="Times New Roman" w:cs="Times New Roman"/>
        </w:rPr>
        <w:t>1.788.676,47</w:t>
      </w:r>
      <w:r>
        <w:rPr>
          <w:rFonts w:ascii="Times New Roman" w:eastAsia="Times New Roman" w:hAnsi="Times New Roman" w:cs="Times New Roman"/>
          <w:b/>
        </w:rPr>
        <w:t xml:space="preserve"> con conseguente </w:t>
      </w:r>
      <w:r>
        <w:rPr>
          <w:rFonts w:ascii="Times New Roman" w:eastAsia="Times New Roman" w:hAnsi="Times New Roman" w:cs="Times New Roman"/>
          <w:b/>
        </w:rPr>
        <w:lastRenderedPageBreak/>
        <w:t xml:space="preserve">stanziamento definitivo </w:t>
      </w:r>
      <w:r w:rsidR="007551E9">
        <w:rPr>
          <w:rFonts w:ascii="ArialMT" w:hAnsi="ArialMT" w:cs="ArialMT"/>
          <w:kern w:val="0"/>
          <w:sz w:val="16"/>
          <w:szCs w:val="16"/>
          <w:lang w:bidi="ar-SA"/>
        </w:rPr>
        <w:t>235.864.705,60</w:t>
      </w:r>
      <w:r>
        <w:rPr>
          <w:rFonts w:ascii="Times New Roman" w:eastAsia="Times New Roman" w:hAnsi="Times New Roman" w:cs="Times New Roman"/>
          <w:b/>
        </w:rPr>
        <w:t>€ come da prospetto Variazioni allegato;</w:t>
      </w:r>
    </w:p>
    <w:p w14:paraId="0AA90346" w14:textId="77777777" w:rsidR="004115F9" w:rsidRDefault="004115F9">
      <w:pPr>
        <w:jc w:val="both"/>
        <w:rPr>
          <w:rFonts w:ascii="Times New Roman" w:eastAsia="Times New Roman" w:hAnsi="Times New Roman" w:cs="Times New Roman"/>
          <w:b/>
        </w:rPr>
      </w:pPr>
    </w:p>
    <w:p w14:paraId="10EF56AB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</w:rPr>
        <w:t xml:space="preserve">per l’anno 2024 </w:t>
      </w:r>
      <w:r>
        <w:rPr>
          <w:rFonts w:ascii="Times New Roman" w:eastAsia="Times New Roman" w:hAnsi="Times New Roman" w:cs="Times New Roman"/>
          <w:u w:val="single"/>
        </w:rPr>
        <w:t>cassa</w:t>
      </w:r>
      <w:r>
        <w:rPr>
          <w:rFonts w:ascii="Times New Roman" w:eastAsia="Times New Roman" w:hAnsi="Times New Roman" w:cs="Times New Roman"/>
        </w:rPr>
        <w:t xml:space="preserve">  Parte II Spesa,  </w:t>
      </w:r>
      <w:r>
        <w:rPr>
          <w:rFonts w:ascii="Times New Roman" w:eastAsia="Times New Roman" w:hAnsi="Times New Roman" w:cs="Times New Roman"/>
          <w:b/>
        </w:rPr>
        <w:t xml:space="preserve">e maggiori spese per € </w:t>
      </w:r>
      <w:r w:rsidR="007551E9" w:rsidRPr="00764F13">
        <w:rPr>
          <w:rFonts w:ascii="Times New Roman" w:eastAsia="Times New Roman" w:hAnsi="Times New Roman" w:cs="Times New Roman"/>
        </w:rPr>
        <w:t>3.364.335,54</w:t>
      </w:r>
      <w:r>
        <w:rPr>
          <w:rFonts w:ascii="Times New Roman" w:eastAsia="Times New Roman" w:hAnsi="Times New Roman" w:cs="Times New Roman"/>
          <w:b/>
        </w:rPr>
        <w:t xml:space="preserve">e minori spese per </w:t>
      </w:r>
      <w:r w:rsidR="007551E9" w:rsidRPr="00764F13">
        <w:rPr>
          <w:rFonts w:ascii="Times New Roman" w:eastAsia="Times New Roman" w:hAnsi="Times New Roman" w:cs="Times New Roman"/>
        </w:rPr>
        <w:t>382.734,66</w:t>
      </w:r>
      <w:r>
        <w:rPr>
          <w:rFonts w:ascii="Times New Roman" w:eastAsia="Times New Roman" w:hAnsi="Times New Roman" w:cs="Times New Roman"/>
          <w:b/>
        </w:rPr>
        <w:t xml:space="preserve">€ con conseguente stanziamento definitivo  di </w:t>
      </w:r>
      <w:r w:rsidR="007551E9" w:rsidRPr="00764F13">
        <w:rPr>
          <w:rFonts w:ascii="Times New Roman" w:eastAsia="Times New Roman" w:hAnsi="Times New Roman" w:cs="Times New Roman"/>
        </w:rPr>
        <w:t>200.168.875,74</w:t>
      </w:r>
      <w:r>
        <w:rPr>
          <w:rFonts w:ascii="Times New Roman" w:eastAsia="Times New Roman" w:hAnsi="Times New Roman" w:cs="Times New Roman"/>
          <w:b/>
        </w:rPr>
        <w:t>€, come da prospetto Variazioni allegato;</w:t>
      </w:r>
    </w:p>
    <w:p w14:paraId="48F89B13" w14:textId="4F1947BB" w:rsidR="004115F9" w:rsidRPr="009C710D" w:rsidRDefault="00A67E04">
      <w:pPr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046216CD" w14:textId="77777777" w:rsidR="004115F9" w:rsidRDefault="00A67E04">
      <w:pPr>
        <w:jc w:val="center"/>
      </w:pPr>
      <w:r>
        <w:rPr>
          <w:rFonts w:ascii="Times New Roman" w:eastAsia="Times New Roman" w:hAnsi="Times New Roman" w:cs="Times New Roman"/>
          <w:b/>
        </w:rPr>
        <w:t>Rilevato</w:t>
      </w:r>
      <w:r>
        <w:rPr>
          <w:rFonts w:ascii="Times New Roman" w:eastAsia="Times New Roman" w:hAnsi="Times New Roman" w:cs="Times New Roman"/>
        </w:rPr>
        <w:t>:</w:t>
      </w:r>
    </w:p>
    <w:p w14:paraId="4211635B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301D6C55" w14:textId="77777777" w:rsidR="004115F9" w:rsidRDefault="00A67E04">
      <w:pPr>
        <w:numPr>
          <w:ilvl w:val="0"/>
          <w:numId w:val="2"/>
        </w:numPr>
        <w:tabs>
          <w:tab w:val="left" w:pos="0"/>
        </w:tabs>
        <w:ind w:left="-360"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 con la variazione proposta non viene alterato il pareggio finanziario;</w:t>
      </w:r>
    </w:p>
    <w:p w14:paraId="73D1BD49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50579381" w14:textId="77777777" w:rsidR="004115F9" w:rsidRDefault="00A67E04">
      <w:pPr>
        <w:numPr>
          <w:ilvl w:val="0"/>
          <w:numId w:val="3"/>
        </w:numPr>
        <w:tabs>
          <w:tab w:val="left" w:pos="0"/>
        </w:tabs>
        <w:ind w:left="-360"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 non altera  i vincoli di destinazione di entrate e di spese;</w:t>
      </w:r>
    </w:p>
    <w:p w14:paraId="4AC28A9D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244C7F34" w14:textId="77777777" w:rsidR="004115F9" w:rsidRDefault="00A67E04">
      <w:pPr>
        <w:numPr>
          <w:ilvl w:val="0"/>
          <w:numId w:val="4"/>
        </w:numPr>
        <w:tabs>
          <w:tab w:val="left" w:pos="0"/>
        </w:tabs>
        <w:ind w:left="-360"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 il saldo tra maggiori entrate è pari al saldo delle maggiori spese come evidenziato dalle tabelle allegate alla documentazione ;</w:t>
      </w:r>
    </w:p>
    <w:p w14:paraId="25B8C363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3C2C6A1B" w14:textId="77777777" w:rsidR="004115F9" w:rsidRDefault="00A67E04">
      <w:pPr>
        <w:numPr>
          <w:ilvl w:val="0"/>
          <w:numId w:val="5"/>
        </w:numPr>
        <w:tabs>
          <w:tab w:val="left" w:pos="0"/>
        </w:tabs>
        <w:ind w:left="-360"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 le modifiche riguardano l’ annualità  2024 ;</w:t>
      </w:r>
    </w:p>
    <w:p w14:paraId="0EEF700B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12AA0E7F" w14:textId="77777777" w:rsidR="004115F9" w:rsidRDefault="00A67E04">
      <w:pPr>
        <w:numPr>
          <w:ilvl w:val="0"/>
          <w:numId w:val="6"/>
        </w:numPr>
        <w:tabs>
          <w:tab w:val="left" w:pos="0"/>
        </w:tabs>
        <w:ind w:left="-360"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 la bozza della Delibera del Consiglio Provinciale  evidenzia le motivazioni delle variazioni   proposte dai vari servizi  ;</w:t>
      </w:r>
    </w:p>
    <w:p w14:paraId="20FACFF7" w14:textId="77777777" w:rsidR="004115F9" w:rsidRDefault="004115F9">
      <w:pPr>
        <w:jc w:val="both"/>
        <w:rPr>
          <w:rFonts w:ascii="Times New Roman" w:eastAsia="Times New Roman" w:hAnsi="Times New Roman" w:cs="Times New Roman"/>
        </w:rPr>
      </w:pPr>
    </w:p>
    <w:p w14:paraId="5109088D" w14:textId="77777777" w:rsidR="004115F9" w:rsidRPr="00A41926" w:rsidRDefault="00A67E04">
      <w:pPr>
        <w:pStyle w:val="western"/>
        <w:numPr>
          <w:ilvl w:val="0"/>
          <w:numId w:val="6"/>
        </w:numPr>
        <w:spacing w:before="0" w:after="0" w:line="276" w:lineRule="auto"/>
        <w:rPr>
          <w:lang w:val="it-IT"/>
        </w:rPr>
      </w:pPr>
      <w:r>
        <w:rPr>
          <w:rFonts w:ascii="Times New Roman" w:hAnsi="Times New Roman" w:cs="Times New Roman"/>
          <w:color w:val="00000A"/>
          <w:sz w:val="24"/>
          <w:szCs w:val="24"/>
          <w:lang w:val="it-IT" w:eastAsia="en-US"/>
        </w:rPr>
        <w:t xml:space="preserve">che l'Ente </w:t>
      </w:r>
      <w:proofErr w:type="gramStart"/>
      <w:r>
        <w:rPr>
          <w:rFonts w:ascii="Times New Roman" w:hAnsi="Times New Roman" w:cs="Times New Roman"/>
          <w:color w:val="00000A"/>
          <w:sz w:val="24"/>
          <w:szCs w:val="24"/>
          <w:lang w:val="it-IT" w:eastAsia="en-US"/>
        </w:rPr>
        <w:t>comunica ,</w:t>
      </w:r>
      <w:proofErr w:type="gramEnd"/>
      <w:r>
        <w:rPr>
          <w:rFonts w:ascii="Times New Roman" w:hAnsi="Times New Roman" w:cs="Times New Roman"/>
          <w:color w:val="00000A"/>
          <w:sz w:val="24"/>
          <w:szCs w:val="24"/>
          <w:lang w:val="it-IT" w:eastAsia="en-US"/>
        </w:rPr>
        <w:t xml:space="preserve"> </w:t>
      </w:r>
      <w:r>
        <w:rPr>
          <w:rFonts w:ascii="Times New Roman" w:hAnsi="Times New Roman" w:cs="Times New Roman"/>
          <w:b/>
          <w:bCs/>
          <w:color w:val="00000A"/>
          <w:sz w:val="24"/>
          <w:szCs w:val="24"/>
          <w:lang w:val="it-IT" w:eastAsia="en-US"/>
        </w:rPr>
        <w:t>ed il Collegio prende atto:</w:t>
      </w:r>
      <w:r>
        <w:rPr>
          <w:rFonts w:ascii="Times New Roman" w:hAnsi="Times New Roman" w:cs="Times New Roman"/>
          <w:color w:val="00000A"/>
          <w:sz w:val="24"/>
          <w:szCs w:val="24"/>
          <w:lang w:val="it-IT" w:eastAsia="en-US"/>
        </w:rPr>
        <w:t xml:space="preserve"> </w:t>
      </w:r>
    </w:p>
    <w:p w14:paraId="6299F08C" w14:textId="77777777" w:rsidR="004115F9" w:rsidRDefault="004115F9">
      <w:pPr>
        <w:pStyle w:val="Paragrafoelenco"/>
        <w:rPr>
          <w:rFonts w:ascii="Times New Roman" w:hAnsi="Times New Roman" w:cs="Times New Roman"/>
          <w:szCs w:val="24"/>
        </w:rPr>
      </w:pPr>
    </w:p>
    <w:p w14:paraId="46AE1735" w14:textId="77777777" w:rsidR="004115F9" w:rsidRPr="00A41926" w:rsidRDefault="00A67E04">
      <w:pPr>
        <w:pStyle w:val="western"/>
        <w:numPr>
          <w:ilvl w:val="0"/>
          <w:numId w:val="6"/>
        </w:numPr>
        <w:spacing w:before="0" w:after="0" w:line="276" w:lineRule="auto"/>
        <w:rPr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che con la delibera in oggetto </w:t>
      </w:r>
      <w:proofErr w:type="gramStart"/>
      <w:r>
        <w:rPr>
          <w:rFonts w:ascii="Times New Roman" w:hAnsi="Times New Roman" w:cs="Times New Roman"/>
          <w:sz w:val="24"/>
          <w:szCs w:val="24"/>
          <w:lang w:val="it-IT"/>
        </w:rPr>
        <w:t>si  apportano</w:t>
      </w:r>
      <w:proofErr w:type="gramEnd"/>
      <w:r>
        <w:rPr>
          <w:rFonts w:ascii="Times New Roman" w:hAnsi="Times New Roman" w:cs="Times New Roman"/>
          <w:sz w:val="24"/>
          <w:szCs w:val="24"/>
          <w:lang w:val="it-IT"/>
        </w:rPr>
        <w:t xml:space="preserve"> le necessarie modifiche alle dotazioni inserite nel bilancio di previsione 2024-2026</w:t>
      </w:r>
      <w:r>
        <w:rPr>
          <w:rFonts w:ascii="Times New Roman" w:hAnsi="Times New Roman" w:cs="Times New Roman"/>
          <w:lang w:val="it-IT"/>
        </w:rPr>
        <w:t xml:space="preserve">; </w:t>
      </w:r>
    </w:p>
    <w:p w14:paraId="1FBD18C2" w14:textId="77777777" w:rsidR="004115F9" w:rsidRDefault="004115F9">
      <w:pPr>
        <w:pStyle w:val="Default"/>
        <w:ind w:left="360"/>
        <w:jc w:val="both"/>
        <w:rPr>
          <w:rFonts w:ascii="Times New Roman" w:hAnsi="Times New Roman" w:cs="Times New Roman"/>
          <w:color w:val="00000A"/>
        </w:rPr>
      </w:pPr>
    </w:p>
    <w:p w14:paraId="346B8F69" w14:textId="77777777" w:rsidR="004115F9" w:rsidRDefault="004115F9">
      <w:pPr>
        <w:ind w:left="720"/>
        <w:jc w:val="both"/>
        <w:rPr>
          <w:rFonts w:ascii="Times New Roman" w:eastAsia="Calibri" w:hAnsi="Times New Roman" w:cs="Times New Roman"/>
        </w:rPr>
      </w:pPr>
    </w:p>
    <w:p w14:paraId="1D698D2F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</w:rPr>
        <w:t>Visto</w:t>
      </w:r>
      <w:r>
        <w:rPr>
          <w:rFonts w:ascii="Times New Roman" w:eastAsia="Times New Roman" w:hAnsi="Times New Roman" w:cs="Times New Roman"/>
        </w:rPr>
        <w:t xml:space="preserve"> il parere di regolarità tecnica e contabile espressi ai sensi dell'art. 49 TUEL sulla proposta di variazione ed il dettaglio delle voci da variare così come evidenziato nelle tabelle allegate alla documentazione ;</w:t>
      </w:r>
    </w:p>
    <w:p w14:paraId="7559F5F9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173E509D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</w:rPr>
        <w:t>Accertato</w:t>
      </w:r>
      <w:r>
        <w:rPr>
          <w:rFonts w:ascii="Times New Roman" w:eastAsia="Times New Roman" w:hAnsi="Times New Roman" w:cs="Times New Roman"/>
        </w:rPr>
        <w:t xml:space="preserve"> che con la variazione proposta permane l’equilibrio di bilancio.</w:t>
      </w:r>
    </w:p>
    <w:p w14:paraId="4CA753F4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4A4C84F7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</w:rPr>
        <w:t xml:space="preserve">Tutto quanto sopra premesso, ai sensi dell'art.239 comma 1 lettera b) TUEL,  il Collegio  </w:t>
      </w:r>
      <w:r>
        <w:rPr>
          <w:rFonts w:ascii="Times New Roman" w:eastAsia="Times New Roman" w:hAnsi="Times New Roman" w:cs="Times New Roman"/>
          <w:b/>
        </w:rPr>
        <w:t>esprime parere favorevole</w:t>
      </w:r>
      <w:r>
        <w:rPr>
          <w:rFonts w:ascii="Times New Roman" w:eastAsia="Times New Roman" w:hAnsi="Times New Roman" w:cs="Times New Roman"/>
        </w:rPr>
        <w:t xml:space="preserve"> alla variazione proposta .</w:t>
      </w:r>
    </w:p>
    <w:p w14:paraId="7495E2F3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353081B5" w14:textId="77777777" w:rsidR="004115F9" w:rsidRDefault="00A67E04">
      <w:pPr>
        <w:jc w:val="both"/>
      </w:pPr>
      <w:r>
        <w:rPr>
          <w:rFonts w:ascii="Times New Roman" w:eastAsia="Times New Roman" w:hAnsi="Times New Roman" w:cs="Times New Roman"/>
          <w:b/>
        </w:rPr>
        <w:t>Invita</w:t>
      </w:r>
      <w:r>
        <w:rPr>
          <w:rFonts w:ascii="Times New Roman" w:eastAsia="Times New Roman" w:hAnsi="Times New Roman" w:cs="Times New Roman"/>
        </w:rPr>
        <w:t xml:space="preserve"> gli uffici a trasmettere le variazioni al Tesoriere dopo l’adozione della Delibera   ed alla pubblicazione sul sito web della Provincia.</w:t>
      </w:r>
    </w:p>
    <w:p w14:paraId="20ECD94B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3958D23C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1F862649" w14:textId="77777777" w:rsidR="004115F9" w:rsidRDefault="00A67E0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Non essendovi altri argomenti, la seduta si chiude alle ore 19.00.</w:t>
      </w:r>
    </w:p>
    <w:p w14:paraId="787773DE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19A4F214" w14:textId="77777777" w:rsidR="004115F9" w:rsidRDefault="00A67E0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Dott. Lauro Alessandri         ___________________</w:t>
      </w:r>
    </w:p>
    <w:p w14:paraId="67E7A86E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3D356285" w14:textId="77777777" w:rsidR="004115F9" w:rsidRDefault="00A67E0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Dott. Stefano Del Vecchio     _____________________</w:t>
      </w:r>
    </w:p>
    <w:p w14:paraId="44116AFF" w14:textId="77777777" w:rsidR="004115F9" w:rsidRDefault="004115F9">
      <w:pPr>
        <w:jc w:val="both"/>
        <w:rPr>
          <w:rFonts w:ascii="Times New Roman" w:eastAsia="Calibri" w:hAnsi="Times New Roman" w:cs="Times New Roman"/>
        </w:rPr>
      </w:pPr>
    </w:p>
    <w:p w14:paraId="6B429AF1" w14:textId="77777777" w:rsidR="004115F9" w:rsidRDefault="00A67E0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Dott. Claudio Pucci               ______________________</w:t>
      </w:r>
    </w:p>
    <w:p w14:paraId="753EF560" w14:textId="77777777" w:rsidR="004115F9" w:rsidRDefault="00A67E04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</w:p>
    <w:p w14:paraId="0B585E63" w14:textId="77777777" w:rsidR="004115F9" w:rsidRDefault="004115F9">
      <w:pPr>
        <w:ind w:left="-360"/>
        <w:jc w:val="both"/>
        <w:rPr>
          <w:rFonts w:ascii="Times New Roman" w:eastAsia="Calibri" w:hAnsi="Times New Roman" w:cs="Times New Roman"/>
        </w:rPr>
      </w:pPr>
    </w:p>
    <w:p w14:paraId="5829AED7" w14:textId="77777777" w:rsidR="004115F9" w:rsidRDefault="004115F9">
      <w:pPr>
        <w:widowControl/>
        <w:suppressAutoHyphens w:val="0"/>
        <w:spacing w:before="100"/>
        <w:ind w:right="34"/>
        <w:jc w:val="both"/>
        <w:rPr>
          <w:rFonts w:ascii="Times New Roman" w:hAnsi="Times New Roman" w:cs="Times New Roman"/>
        </w:rPr>
      </w:pPr>
    </w:p>
    <w:sectPr w:rsidR="004115F9">
      <w:headerReference w:type="default" r:id="rId7"/>
      <w:footerReference w:type="default" r:id="rId8"/>
      <w:pgSz w:w="11906" w:h="16838"/>
      <w:pgMar w:top="1134" w:right="1134" w:bottom="1134" w:left="1134" w:header="720" w:footer="72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698DD" w14:textId="77777777" w:rsidR="00B51B63" w:rsidRDefault="00B51B63">
      <w:r>
        <w:separator/>
      </w:r>
    </w:p>
  </w:endnote>
  <w:endnote w:type="continuationSeparator" w:id="0">
    <w:p w14:paraId="4B227B3F" w14:textId="77777777" w:rsidR="00B51B63" w:rsidRDefault="00B5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variable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 MT Extra Bol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37612" w14:textId="77777777" w:rsidR="004115F9" w:rsidRDefault="004115F9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730BE" w14:textId="77777777" w:rsidR="00B51B63" w:rsidRDefault="00B51B63">
      <w:r>
        <w:separator/>
      </w:r>
    </w:p>
  </w:footnote>
  <w:footnote w:type="continuationSeparator" w:id="0">
    <w:p w14:paraId="2EFC66E9" w14:textId="77777777" w:rsidR="00B51B63" w:rsidRDefault="00B51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980" w:type="dxa"/>
      <w:tblInd w:w="-4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0"/>
      <w:gridCol w:w="9900"/>
    </w:tblGrid>
    <w:tr w:rsidR="004115F9" w14:paraId="1F83E404" w14:textId="77777777">
      <w:trPr>
        <w:trHeight w:hRule="exact" w:val="1438"/>
      </w:trPr>
      <w:tc>
        <w:tcPr>
          <w:tcW w:w="1080" w:type="dxa"/>
          <w:vAlign w:val="center"/>
        </w:tcPr>
        <w:p w14:paraId="066E67F0" w14:textId="77777777" w:rsidR="004115F9" w:rsidRDefault="00A67E04">
          <w:pPr>
            <w:pStyle w:val="Titolo"/>
            <w:tabs>
              <w:tab w:val="clear" w:pos="4819"/>
              <w:tab w:val="clear" w:pos="9638"/>
            </w:tabs>
          </w:pPr>
          <w:r>
            <w:rPr>
              <w:rFonts w:ascii="Univers" w:hAnsi="Univers" w:cs="Univers"/>
              <w:noProof/>
              <w:lang w:eastAsia="it-IT" w:bidi="ar-SA"/>
            </w:rPr>
            <w:drawing>
              <wp:inline distT="0" distB="0" distL="0" distR="0" wp14:anchorId="643A2C8C" wp14:editId="26CBE2D5">
                <wp:extent cx="595630" cy="813435"/>
                <wp:effectExtent l="0" t="0" r="0" b="0"/>
                <wp:docPr id="1" name="Immagin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5630" cy="8134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00" w:type="dxa"/>
        </w:tcPr>
        <w:p w14:paraId="54960780" w14:textId="77777777" w:rsidR="004115F9" w:rsidRDefault="004115F9">
          <w:pPr>
            <w:pStyle w:val="Titolo"/>
            <w:snapToGrid w:val="0"/>
            <w:ind w:left="153"/>
            <w:rPr>
              <w:rFonts w:ascii="Times New Roman MT Extra Bold" w:hAnsi="Times New Roman MT Extra Bold" w:cs="Times New Roman MT Extra Bold" w:hint="eastAsia"/>
              <w:b/>
              <w:sz w:val="20"/>
            </w:rPr>
          </w:pPr>
        </w:p>
        <w:p w14:paraId="1AAAA4E0" w14:textId="77777777" w:rsidR="004115F9" w:rsidRDefault="00A67E04">
          <w:pPr>
            <w:pStyle w:val="Titolo"/>
            <w:spacing w:before="280"/>
            <w:ind w:left="153"/>
          </w:pPr>
          <w:r>
            <w:rPr>
              <w:rFonts w:ascii="Times New Roman MT Extra Bold" w:hAnsi="Times New Roman MT Extra Bold" w:cs="Times New Roman MT Extra Bold"/>
              <w:b/>
              <w:sz w:val="36"/>
              <w:u w:val="single"/>
            </w:rPr>
            <w:t xml:space="preserve">PROVINCIA DI LIVORNO                                                  </w:t>
          </w:r>
          <w:r>
            <w:rPr>
              <w:rFonts w:ascii="Times New Roman MT Extra Bold" w:hAnsi="Times New Roman MT Extra Bold" w:cs="Times New Roman MT Extra Bold"/>
              <w:b/>
              <w:color w:val="FFFFFF"/>
              <w:sz w:val="36"/>
              <w:u w:val="single"/>
            </w:rPr>
            <w:t>_</w:t>
          </w:r>
          <w:r>
            <w:rPr>
              <w:rFonts w:ascii="Times New Roman MT Extra Bold" w:hAnsi="Times New Roman MT Extra Bold" w:cs="Times New Roman MT Extra Bold"/>
              <w:b/>
              <w:sz w:val="36"/>
              <w:u w:val="single"/>
            </w:rPr>
            <w:t xml:space="preserve"> </w:t>
          </w:r>
          <w:r>
            <w:rPr>
              <w:rFonts w:ascii="Times New Roman MT Extra Bold" w:hAnsi="Times New Roman MT Extra Bold" w:cs="Times New Roman MT Extra Bold"/>
              <w:b/>
              <w:sz w:val="36"/>
              <w:u w:val="single"/>
            </w:rPr>
            <w:br/>
          </w:r>
          <w:r>
            <w:rPr>
              <w:sz w:val="16"/>
            </w:rPr>
            <w:t xml:space="preserve">Piazza del Municipio, 4 57100 Livorno  Tel. 0586.257111    Fax 0586.88.40.57   e mail: </w:t>
          </w:r>
          <w:hyperlink r:id="rId2" w:tgtFrame="_top">
            <w:r>
              <w:rPr>
                <w:rStyle w:val="CollegamentoInternet"/>
                <w:sz w:val="16"/>
              </w:rPr>
              <w:t>urp@provincia.livorno.it</w:t>
            </w:r>
          </w:hyperlink>
          <w:r>
            <w:rPr>
              <w:sz w:val="16"/>
            </w:rPr>
            <w:t xml:space="preserve">   www.provincia.livorno.it</w:t>
          </w:r>
        </w:p>
      </w:tc>
    </w:tr>
  </w:tbl>
  <w:p w14:paraId="21CF419A" w14:textId="77777777" w:rsidR="004115F9" w:rsidRDefault="004115F9">
    <w:pPr>
      <w:pStyle w:val="Titol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737F76"/>
    <w:multiLevelType w:val="multilevel"/>
    <w:tmpl w:val="5B2612D4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360C3BD4"/>
    <w:multiLevelType w:val="multilevel"/>
    <w:tmpl w:val="CFF0C23A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51FE3843"/>
    <w:multiLevelType w:val="multilevel"/>
    <w:tmpl w:val="330A4EBA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49F2444"/>
    <w:multiLevelType w:val="multilevel"/>
    <w:tmpl w:val="EC146EC0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5EB75AD8"/>
    <w:multiLevelType w:val="multilevel"/>
    <w:tmpl w:val="CCA6A90A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68FC5D6E"/>
    <w:multiLevelType w:val="hybridMultilevel"/>
    <w:tmpl w:val="029EC9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3C2AB1"/>
    <w:multiLevelType w:val="multilevel"/>
    <w:tmpl w:val="E63C295E"/>
    <w:lvl w:ilvl="0">
      <w:start w:val="1"/>
      <w:numFmt w:val="bullet"/>
      <w:lvlText w:val="•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 w16cid:durableId="2044598065">
    <w:abstractNumId w:val="2"/>
  </w:num>
  <w:num w:numId="2" w16cid:durableId="1112094353">
    <w:abstractNumId w:val="4"/>
  </w:num>
  <w:num w:numId="3" w16cid:durableId="820198872">
    <w:abstractNumId w:val="1"/>
  </w:num>
  <w:num w:numId="4" w16cid:durableId="1734085588">
    <w:abstractNumId w:val="3"/>
  </w:num>
  <w:num w:numId="5" w16cid:durableId="1283850417">
    <w:abstractNumId w:val="0"/>
  </w:num>
  <w:num w:numId="6" w16cid:durableId="1659770475">
    <w:abstractNumId w:val="6"/>
  </w:num>
  <w:num w:numId="7" w16cid:durableId="1302922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15F9"/>
    <w:rsid w:val="00022190"/>
    <w:rsid w:val="000A21D7"/>
    <w:rsid w:val="00113781"/>
    <w:rsid w:val="00172AF6"/>
    <w:rsid w:val="001D4207"/>
    <w:rsid w:val="002C4B5C"/>
    <w:rsid w:val="004115F9"/>
    <w:rsid w:val="0052265F"/>
    <w:rsid w:val="00576BD1"/>
    <w:rsid w:val="00580D79"/>
    <w:rsid w:val="005821CC"/>
    <w:rsid w:val="007551E9"/>
    <w:rsid w:val="00764F13"/>
    <w:rsid w:val="00973BF6"/>
    <w:rsid w:val="009C710D"/>
    <w:rsid w:val="00A41926"/>
    <w:rsid w:val="00A67E04"/>
    <w:rsid w:val="00B51B63"/>
    <w:rsid w:val="00BF13CC"/>
    <w:rsid w:val="00D652A2"/>
    <w:rsid w:val="00DB1A2F"/>
    <w:rsid w:val="00E536EE"/>
    <w:rsid w:val="00F6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CA9F5"/>
  <w15:docId w15:val="{80DBF086-A257-4B28-882A-C7CBADF9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Mangal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i/>
      <w:iCs/>
      <w:sz w:val="22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rFonts w:ascii="Monotype Corsiva" w:hAnsi="Monotype Corsiva" w:cs="Monotype Corsiva"/>
      <w:sz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OpenSymbol;Arial Unicode MS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Enfasicorsivo">
    <w:name w:val="Emphasis"/>
    <w:basedOn w:val="Carpredefinitoparagrafo"/>
    <w:qFormat/>
    <w:rPr>
      <w:i/>
      <w:iCs/>
    </w:rPr>
  </w:style>
  <w:style w:type="character" w:customStyle="1" w:styleId="Enfasiforte">
    <w:name w:val="Enfasi forte"/>
    <w:basedOn w:val="Carpredefinitoparagrafo"/>
    <w:qFormat/>
    <w:rPr>
      <w:b/>
      <w:bCs/>
    </w:rPr>
  </w:style>
  <w:style w:type="character" w:customStyle="1" w:styleId="CollegamentoInternet">
    <w:name w:val="Collegamento Internet"/>
    <w:basedOn w:val="Carpredefinitoparagrafo"/>
    <w:rPr>
      <w:color w:val="0000FF"/>
      <w:u w:val="single"/>
    </w:rPr>
  </w:style>
  <w:style w:type="character" w:customStyle="1" w:styleId="Punti">
    <w:name w:val="Punti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Caratteridinumerazione">
    <w:name w:val="Caratteri di numerazione"/>
    <w:qFormat/>
  </w:style>
  <w:style w:type="character" w:customStyle="1" w:styleId="IntestazioneCarattere">
    <w:name w:val="Intestazione Carattere"/>
    <w:basedOn w:val="Carpredefinitoparagrafo"/>
    <w:qFormat/>
    <w:rPr>
      <w:szCs w:val="21"/>
    </w:rPr>
  </w:style>
  <w:style w:type="character" w:customStyle="1" w:styleId="PidipaginaCarattere">
    <w:name w:val="Piè di pagina Carattere"/>
    <w:basedOn w:val="Carpredefinitoparagrafo"/>
    <w:qFormat/>
    <w:rPr>
      <w:szCs w:val="21"/>
    </w:rPr>
  </w:style>
  <w:style w:type="character" w:customStyle="1" w:styleId="TestofumettoCarattere">
    <w:name w:val="Testo fumetto Carattere"/>
    <w:basedOn w:val="Carpredefinitoparagrafo"/>
    <w:qFormat/>
    <w:rPr>
      <w:rFonts w:ascii="Tahoma" w:hAnsi="Tahoma"/>
      <w:sz w:val="16"/>
      <w:szCs w:val="14"/>
    </w:rPr>
  </w:style>
  <w:style w:type="character" w:customStyle="1" w:styleId="WWCharLFO2LVL1">
    <w:name w:val="WW_CharLFO2LVL1"/>
    <w:qFormat/>
    <w:rPr>
      <w:rFonts w:ascii="Symbol" w:hAnsi="Symbol" w:cs="OpenSymbol;Arial Unicode MS"/>
    </w:rPr>
  </w:style>
  <w:style w:type="character" w:customStyle="1" w:styleId="WWCharLFO2LVL2">
    <w:name w:val="WW_CharLFO2LVL2"/>
    <w:qFormat/>
    <w:rPr>
      <w:rFonts w:ascii="OpenSymbol;Arial Unicode MS" w:hAnsi="OpenSymbol;Arial Unicode MS" w:cs="OpenSymbol;Arial Unicode MS"/>
    </w:rPr>
  </w:style>
  <w:style w:type="character" w:customStyle="1" w:styleId="WWCharLFO2LVL3">
    <w:name w:val="WW_CharLFO2LVL3"/>
    <w:qFormat/>
    <w:rPr>
      <w:rFonts w:ascii="OpenSymbol;Arial Unicode MS" w:hAnsi="OpenSymbol;Arial Unicode MS" w:cs="OpenSymbol;Arial Unicode MS"/>
    </w:rPr>
  </w:style>
  <w:style w:type="character" w:customStyle="1" w:styleId="WWCharLFO2LVL4">
    <w:name w:val="WW_CharLFO2LVL4"/>
    <w:qFormat/>
    <w:rPr>
      <w:rFonts w:ascii="Symbol" w:hAnsi="Symbol" w:cs="OpenSymbol;Arial Unicode MS"/>
    </w:rPr>
  </w:style>
  <w:style w:type="character" w:customStyle="1" w:styleId="WWCharLFO2LVL5">
    <w:name w:val="WW_CharLFO2LVL5"/>
    <w:qFormat/>
    <w:rPr>
      <w:rFonts w:ascii="OpenSymbol;Arial Unicode MS" w:hAnsi="OpenSymbol;Arial Unicode MS" w:cs="OpenSymbol;Arial Unicode MS"/>
    </w:rPr>
  </w:style>
  <w:style w:type="character" w:customStyle="1" w:styleId="WWCharLFO2LVL6">
    <w:name w:val="WW_CharLFO2LVL6"/>
    <w:qFormat/>
    <w:rPr>
      <w:rFonts w:ascii="OpenSymbol;Arial Unicode MS" w:hAnsi="OpenSymbol;Arial Unicode MS" w:cs="OpenSymbol;Arial Unicode MS"/>
    </w:rPr>
  </w:style>
  <w:style w:type="character" w:customStyle="1" w:styleId="WWCharLFO2LVL7">
    <w:name w:val="WW_CharLFO2LVL7"/>
    <w:qFormat/>
    <w:rPr>
      <w:rFonts w:ascii="Symbol" w:hAnsi="Symbol" w:cs="OpenSymbol;Arial Unicode MS"/>
    </w:rPr>
  </w:style>
  <w:style w:type="character" w:customStyle="1" w:styleId="WWCharLFO2LVL8">
    <w:name w:val="WW_CharLFO2LVL8"/>
    <w:qFormat/>
    <w:rPr>
      <w:rFonts w:ascii="OpenSymbol;Arial Unicode MS" w:hAnsi="OpenSymbol;Arial Unicode MS" w:cs="OpenSymbol;Arial Unicode MS"/>
    </w:rPr>
  </w:style>
  <w:style w:type="character" w:customStyle="1" w:styleId="WWCharLFO2LVL9">
    <w:name w:val="WW_CharLFO2LVL9"/>
    <w:qFormat/>
    <w:rPr>
      <w:rFonts w:ascii="OpenSymbol;Arial Unicode MS" w:hAnsi="OpenSymbol;Arial Unicode MS" w:cs="OpenSymbol;Arial Unicode MS"/>
    </w:rPr>
  </w:style>
  <w:style w:type="character" w:customStyle="1" w:styleId="WWCharLFO3LVL1">
    <w:name w:val="WW_CharLFO3LVL1"/>
    <w:qFormat/>
    <w:rPr>
      <w:rFonts w:ascii="Symbol" w:hAnsi="Symbol" w:cs="OpenSymbol;Arial Unicode MS"/>
    </w:rPr>
  </w:style>
  <w:style w:type="character" w:customStyle="1" w:styleId="WWCharLFO3LVL2">
    <w:name w:val="WW_CharLFO3LVL2"/>
    <w:qFormat/>
    <w:rPr>
      <w:rFonts w:ascii="OpenSymbol;Arial Unicode MS" w:hAnsi="OpenSymbol;Arial Unicode MS" w:cs="OpenSymbol;Arial Unicode MS"/>
    </w:rPr>
  </w:style>
  <w:style w:type="character" w:customStyle="1" w:styleId="WWCharLFO3LVL3">
    <w:name w:val="WW_CharLFO3LVL3"/>
    <w:qFormat/>
    <w:rPr>
      <w:rFonts w:ascii="OpenSymbol;Arial Unicode MS" w:hAnsi="OpenSymbol;Arial Unicode MS" w:cs="OpenSymbol;Arial Unicode MS"/>
    </w:rPr>
  </w:style>
  <w:style w:type="character" w:customStyle="1" w:styleId="WWCharLFO3LVL4">
    <w:name w:val="WW_CharLFO3LVL4"/>
    <w:qFormat/>
    <w:rPr>
      <w:rFonts w:ascii="Symbol" w:hAnsi="Symbol" w:cs="OpenSymbol;Arial Unicode MS"/>
    </w:rPr>
  </w:style>
  <w:style w:type="character" w:customStyle="1" w:styleId="WWCharLFO3LVL5">
    <w:name w:val="WW_CharLFO3LVL5"/>
    <w:qFormat/>
    <w:rPr>
      <w:rFonts w:ascii="OpenSymbol;Arial Unicode MS" w:hAnsi="OpenSymbol;Arial Unicode MS" w:cs="OpenSymbol;Arial Unicode MS"/>
    </w:rPr>
  </w:style>
  <w:style w:type="character" w:customStyle="1" w:styleId="WWCharLFO3LVL6">
    <w:name w:val="WW_CharLFO3LVL6"/>
    <w:qFormat/>
    <w:rPr>
      <w:rFonts w:ascii="OpenSymbol;Arial Unicode MS" w:hAnsi="OpenSymbol;Arial Unicode MS" w:cs="OpenSymbol;Arial Unicode MS"/>
    </w:rPr>
  </w:style>
  <w:style w:type="character" w:customStyle="1" w:styleId="WWCharLFO3LVL7">
    <w:name w:val="WW_CharLFO3LVL7"/>
    <w:qFormat/>
    <w:rPr>
      <w:rFonts w:ascii="Symbol" w:hAnsi="Symbol" w:cs="OpenSymbol;Arial Unicode MS"/>
    </w:rPr>
  </w:style>
  <w:style w:type="character" w:customStyle="1" w:styleId="WWCharLFO3LVL8">
    <w:name w:val="WW_CharLFO3LVL8"/>
    <w:qFormat/>
    <w:rPr>
      <w:rFonts w:ascii="OpenSymbol;Arial Unicode MS" w:hAnsi="OpenSymbol;Arial Unicode MS" w:cs="OpenSymbol;Arial Unicode MS"/>
    </w:rPr>
  </w:style>
  <w:style w:type="character" w:customStyle="1" w:styleId="WWCharLFO3LVL9">
    <w:name w:val="WW_CharLFO3LVL9"/>
    <w:qFormat/>
    <w:rPr>
      <w:rFonts w:ascii="OpenSymbol;Arial Unicode MS" w:hAnsi="OpenSymbol;Arial Unicode MS" w:cs="OpenSymbol;Arial Unicode MS"/>
    </w:rPr>
  </w:style>
  <w:style w:type="character" w:customStyle="1" w:styleId="WWCharLFO4LVL1">
    <w:name w:val="WW_CharLFO4LVL1"/>
    <w:qFormat/>
    <w:rPr>
      <w:rFonts w:ascii="OpenSymbol" w:eastAsia="OpenSymbol" w:hAnsi="OpenSymbol" w:cs="OpenSymbol"/>
    </w:rPr>
  </w:style>
  <w:style w:type="character" w:customStyle="1" w:styleId="WWCharLFO4LVL2">
    <w:name w:val="WW_CharLFO4LVL2"/>
    <w:qFormat/>
    <w:rPr>
      <w:rFonts w:ascii="OpenSymbol" w:eastAsia="OpenSymbol" w:hAnsi="OpenSymbol" w:cs="OpenSymbol"/>
    </w:rPr>
  </w:style>
  <w:style w:type="character" w:customStyle="1" w:styleId="WWCharLFO4LVL3">
    <w:name w:val="WW_CharLFO4LVL3"/>
    <w:qFormat/>
    <w:rPr>
      <w:rFonts w:ascii="OpenSymbol" w:eastAsia="OpenSymbol" w:hAnsi="OpenSymbol" w:cs="OpenSymbol"/>
    </w:rPr>
  </w:style>
  <w:style w:type="character" w:customStyle="1" w:styleId="WWCharLFO4LVL4">
    <w:name w:val="WW_CharLFO4LVL4"/>
    <w:qFormat/>
    <w:rPr>
      <w:rFonts w:ascii="OpenSymbol" w:eastAsia="OpenSymbol" w:hAnsi="OpenSymbol" w:cs="OpenSymbol"/>
    </w:rPr>
  </w:style>
  <w:style w:type="character" w:customStyle="1" w:styleId="WWCharLFO4LVL5">
    <w:name w:val="WW_CharLFO4LVL5"/>
    <w:qFormat/>
    <w:rPr>
      <w:rFonts w:ascii="OpenSymbol" w:eastAsia="OpenSymbol" w:hAnsi="OpenSymbol" w:cs="OpenSymbol"/>
    </w:rPr>
  </w:style>
  <w:style w:type="character" w:customStyle="1" w:styleId="WWCharLFO4LVL6">
    <w:name w:val="WW_CharLFO4LVL6"/>
    <w:qFormat/>
    <w:rPr>
      <w:rFonts w:ascii="OpenSymbol" w:eastAsia="OpenSymbol" w:hAnsi="OpenSymbol" w:cs="OpenSymbol"/>
    </w:rPr>
  </w:style>
  <w:style w:type="character" w:customStyle="1" w:styleId="WWCharLFO4LVL7">
    <w:name w:val="WW_CharLFO4LVL7"/>
    <w:qFormat/>
    <w:rPr>
      <w:rFonts w:ascii="OpenSymbol" w:eastAsia="OpenSymbol" w:hAnsi="OpenSymbol" w:cs="OpenSymbol"/>
    </w:rPr>
  </w:style>
  <w:style w:type="character" w:customStyle="1" w:styleId="WWCharLFO4LVL8">
    <w:name w:val="WW_CharLFO4LVL8"/>
    <w:qFormat/>
    <w:rPr>
      <w:rFonts w:ascii="OpenSymbol" w:eastAsia="OpenSymbol" w:hAnsi="OpenSymbol" w:cs="OpenSymbol"/>
    </w:rPr>
  </w:style>
  <w:style w:type="character" w:customStyle="1" w:styleId="WWCharLFO4LVL9">
    <w:name w:val="WW_CharLFO4LVL9"/>
    <w:qFormat/>
    <w:rPr>
      <w:rFonts w:ascii="OpenSymbol" w:eastAsia="OpenSymbol" w:hAnsi="OpenSymbol" w:cs="OpenSymbol"/>
    </w:rPr>
  </w:style>
  <w:style w:type="character" w:customStyle="1" w:styleId="WWCharLFO5LVL1">
    <w:name w:val="WW_CharLFO5LVL1"/>
    <w:qFormat/>
    <w:rPr>
      <w:rFonts w:ascii="Symbol" w:hAnsi="Symbol" w:cs="Symbol"/>
    </w:rPr>
  </w:style>
  <w:style w:type="character" w:customStyle="1" w:styleId="WWCharLFO6LVL1">
    <w:name w:val="WW_CharLFO6LVL1"/>
    <w:qFormat/>
    <w:rPr>
      <w:rFonts w:ascii="Symbol" w:hAnsi="Symbol" w:cs="Symbol"/>
    </w:rPr>
  </w:style>
  <w:style w:type="character" w:customStyle="1" w:styleId="WWCharLFO7LVL1">
    <w:name w:val="WW_CharLFO7LVL1"/>
    <w:qFormat/>
    <w:rPr>
      <w:rFonts w:ascii="Symbol" w:hAnsi="Symbol" w:cs="Symbol"/>
    </w:rPr>
  </w:style>
  <w:style w:type="character" w:customStyle="1" w:styleId="WWCharLFO8LVL1">
    <w:name w:val="WW_CharLFO8LVL1"/>
    <w:qFormat/>
    <w:rPr>
      <w:rFonts w:ascii="Symbol" w:hAnsi="Symbol" w:cs="Symbol"/>
    </w:rPr>
  </w:style>
  <w:style w:type="character" w:customStyle="1" w:styleId="WWCharLFO9LVL1">
    <w:name w:val="WW_CharLFO9LVL1"/>
    <w:qFormat/>
    <w:rPr>
      <w:rFonts w:ascii="Symbol" w:hAnsi="Symbol" w:cs="Symbol"/>
    </w:rPr>
  </w:style>
  <w:style w:type="paragraph" w:styleId="Titolo">
    <w:name w:val="Title"/>
    <w:basedOn w:val="Normale"/>
    <w:qFormat/>
    <w:pPr>
      <w:tabs>
        <w:tab w:val="center" w:pos="4819"/>
        <w:tab w:val="right" w:pos="9638"/>
      </w:tabs>
    </w:pPr>
    <w:rPr>
      <w:szCs w:val="21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Cs w:val="21"/>
    </w:rPr>
  </w:style>
  <w:style w:type="paragraph" w:customStyle="1" w:styleId="destinatarioparticolare">
    <w:name w:val="destinatarioparticolare"/>
    <w:basedOn w:val="Normale"/>
    <w:qFormat/>
    <w:pPr>
      <w:spacing w:before="280" w:after="280"/>
    </w:p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customStyle="1" w:styleId="Default">
    <w:name w:val="Default"/>
    <w:qFormat/>
    <w:pPr>
      <w:suppressAutoHyphens/>
    </w:pPr>
    <w:rPr>
      <w:rFonts w:ascii="Liberation Sans" w:hAnsi="Liberation Sans" w:cs="Liberation Sans"/>
      <w:color w:val="000000"/>
    </w:rPr>
  </w:style>
  <w:style w:type="paragraph" w:styleId="Testofumetto">
    <w:name w:val="Balloon Text"/>
    <w:basedOn w:val="Normale"/>
    <w:qFormat/>
    <w:rPr>
      <w:rFonts w:ascii="Tahoma" w:hAnsi="Tahoma"/>
      <w:sz w:val="16"/>
      <w:szCs w:val="14"/>
    </w:rPr>
  </w:style>
  <w:style w:type="paragraph" w:styleId="NormaleWeb">
    <w:name w:val="Normal (Web)"/>
    <w:basedOn w:val="Normale"/>
    <w:qFormat/>
    <w:pPr>
      <w:widowControl/>
      <w:suppressAutoHyphens w:val="0"/>
      <w:spacing w:before="100" w:after="119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styleId="Paragrafoelenco">
    <w:name w:val="List Paragraph"/>
    <w:basedOn w:val="Normale"/>
    <w:qFormat/>
    <w:pPr>
      <w:ind w:left="720"/>
    </w:pPr>
    <w:rPr>
      <w:szCs w:val="21"/>
    </w:r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estern">
    <w:name w:val="western"/>
    <w:basedOn w:val="Normale"/>
    <w:qFormat/>
    <w:pPr>
      <w:spacing w:before="100" w:after="200" w:line="360" w:lineRule="auto"/>
      <w:ind w:right="57"/>
      <w:jc w:val="both"/>
    </w:pPr>
    <w:rPr>
      <w:rFonts w:ascii="Arial" w:eastAsia="Times New Roman" w:hAnsi="Arial" w:cs="Arial"/>
      <w:color w:val="000000"/>
      <w:sz w:val="20"/>
      <w:szCs w:val="20"/>
      <w:lang w:val="en-US" w:bidi="en-U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4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rp@provincia.livorno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 IN USCITA</vt:lpstr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 IN USCITA</dc:title>
  <dc:subject/>
  <dc:creator>Provincia di Livorno</dc:creator>
  <dc:description/>
  <cp:lastModifiedBy>Daniela Gorgeri</cp:lastModifiedBy>
  <cp:revision>2</cp:revision>
  <cp:lastPrinted>2024-07-12T17:04:00Z</cp:lastPrinted>
  <dcterms:created xsi:type="dcterms:W3CDTF">2024-11-26T15:25:00Z</dcterms:created>
  <dcterms:modified xsi:type="dcterms:W3CDTF">2024-11-26T15:25:00Z</dcterms:modified>
  <dc:language>it-IT</dc:language>
</cp:coreProperties>
</file>